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sor1"/>
        <w:spacing w:before="240" w:after="60"/>
        <w:jc w:val="center"/>
        <w:rPr>
          <w:sz w:val="24"/>
          <w:szCs w:val="24"/>
        </w:rPr>
      </w:pPr>
      <w:r>
        <w:rPr>
          <w:sz w:val="24"/>
          <w:szCs w:val="24"/>
        </w:rPr>
      </w:r>
      <w:bookmarkStart w:id="0" w:name="_GoBack"/>
      <w:bookmarkStart w:id="1" w:name="_GoBack"/>
      <w:bookmarkEnd w:id="1"/>
    </w:p>
    <w:p>
      <w:pPr>
        <w:pStyle w:val="Cmsor1"/>
        <w:jc w:val="center"/>
        <w:rPr>
          <w:sz w:val="24"/>
          <w:szCs w:val="24"/>
        </w:rPr>
      </w:pPr>
      <w:r>
        <w:rPr>
          <w:sz w:val="24"/>
          <w:szCs w:val="24"/>
        </w:rPr>
      </w:r>
    </w:p>
    <w:p>
      <w:pPr>
        <w:pStyle w:val="Cmsor1"/>
        <w:jc w:val="center"/>
        <w:rPr>
          <w:sz w:val="24"/>
          <w:szCs w:val="24"/>
        </w:rPr>
      </w:pPr>
      <w:r>
        <w:rPr>
          <w:sz w:val="24"/>
          <w:szCs w:val="24"/>
        </w:rPr>
      </w:r>
    </w:p>
    <w:p>
      <w:pPr>
        <w:pStyle w:val="Cmsor1"/>
        <w:jc w:val="center"/>
        <w:rPr>
          <w:sz w:val="24"/>
          <w:szCs w:val="24"/>
        </w:rPr>
      </w:pPr>
      <w:r>
        <w:rPr>
          <w:sz w:val="24"/>
          <w:szCs w:val="24"/>
        </w:rPr>
      </w:r>
    </w:p>
    <w:p>
      <w:pPr>
        <w:pStyle w:val="Cmsor1"/>
        <w:jc w:val="center"/>
        <w:rPr>
          <w:sz w:val="24"/>
          <w:szCs w:val="24"/>
        </w:rPr>
      </w:pPr>
      <w:r>
        <w:rPr>
          <w:sz w:val="24"/>
          <w:szCs w:val="24"/>
        </w:rPr>
      </w:r>
    </w:p>
    <w:p>
      <w:pPr>
        <w:pStyle w:val="Cmsor1"/>
        <w:jc w:val="center"/>
        <w:rPr>
          <w:sz w:val="24"/>
          <w:szCs w:val="24"/>
        </w:rPr>
      </w:pPr>
      <w:r>
        <w:rPr>
          <w:sz w:val="24"/>
          <w:szCs w:val="24"/>
        </w:rPr>
      </w:r>
    </w:p>
    <w:p>
      <w:pPr>
        <w:pStyle w:val="Cmsor1"/>
        <w:jc w:val="center"/>
        <w:rPr>
          <w:sz w:val="24"/>
          <w:szCs w:val="24"/>
        </w:rPr>
      </w:pPr>
      <w:r>
        <w:rPr>
          <w:sz w:val="24"/>
          <w:szCs w:val="24"/>
        </w:rPr>
      </w:r>
    </w:p>
    <w:p>
      <w:pPr>
        <w:pStyle w:val="Cmsor1"/>
        <w:jc w:val="center"/>
        <w:rPr>
          <w:sz w:val="24"/>
          <w:szCs w:val="24"/>
        </w:rPr>
      </w:pPr>
      <w:r>
        <w:rPr>
          <w:sz w:val="24"/>
          <w:szCs w:val="24"/>
        </w:rPr>
      </w:r>
    </w:p>
    <w:p>
      <w:pPr>
        <w:pStyle w:val="Cmsor1"/>
        <w:jc w:val="center"/>
        <w:rPr/>
      </w:pPr>
      <w:r>
        <w:rPr/>
        <w:t>„</w:t>
      </w:r>
      <w:r>
        <w:rPr/>
        <w:t>BOM a Magyar Sportért” Közhasznú Alapítvány</w:t>
      </w:r>
    </w:p>
    <w:p>
      <w:pPr>
        <w:pStyle w:val="Cmsor1"/>
        <w:jc w:val="center"/>
        <w:rPr/>
      </w:pPr>
      <w:r>
        <w:rPr/>
        <w:t>TÁMOGATÁSI SZABÁLYZAT</w:t>
      </w:r>
      <w:r>
        <w:br w:type="page"/>
      </w:r>
    </w:p>
    <w:p>
      <w:pPr>
        <w:pStyle w:val="Normal"/>
        <w:rPr>
          <w:rFonts w:ascii="Arial" w:hAnsi="Arial" w:cs="Arial"/>
          <w:b/>
          <w:b/>
        </w:rPr>
      </w:pPr>
      <w:r>
        <w:rPr>
          <w:rFonts w:cs="Arial" w:ascii="Arial" w:hAnsi="Arial"/>
          <w:b/>
        </w:rPr>
        <w:t>BEVEZETŐ</w:t>
      </w:r>
    </w:p>
    <w:p>
      <w:pPr>
        <w:pStyle w:val="Normal"/>
        <w:spacing w:lineRule="atLeast" w:line="280"/>
        <w:rPr>
          <w:rFonts w:ascii="Arial" w:hAnsi="Arial" w:cs="Arial"/>
          <w:b/>
          <w:b/>
          <w:sz w:val="20"/>
          <w:szCs w:val="20"/>
        </w:rPr>
      </w:pPr>
      <w:r>
        <w:rPr>
          <w:rFonts w:cs="Arial" w:ascii="Arial" w:hAnsi="Arial"/>
          <w:b/>
          <w:sz w:val="20"/>
          <w:szCs w:val="20"/>
        </w:rPr>
      </w:r>
    </w:p>
    <w:p>
      <w:pPr>
        <w:pStyle w:val="Normal"/>
        <w:spacing w:lineRule="atLeast" w:line="280"/>
        <w:jc w:val="both"/>
        <w:rPr/>
      </w:pPr>
      <w:r>
        <w:rPr>
          <w:rFonts w:cs="Arial" w:ascii="Arial" w:hAnsi="Arial"/>
          <w:sz w:val="20"/>
          <w:szCs w:val="20"/>
        </w:rPr>
        <w:t>A „BOM a Magyar Sportért” Közhasznú Alapítvány (székhely: 1125 Budapest, Béla király út 29/A) (a továbbiakban: „</w:t>
      </w:r>
      <w:r>
        <w:rPr>
          <w:rFonts w:cs="Arial" w:ascii="Arial" w:hAnsi="Arial"/>
          <w:b/>
          <w:sz w:val="20"/>
          <w:szCs w:val="20"/>
        </w:rPr>
        <w:t>Alapítvány</w:t>
      </w:r>
      <w:r>
        <w:rPr>
          <w:rFonts w:cs="Arial" w:ascii="Arial" w:hAnsi="Arial"/>
          <w:sz w:val="20"/>
          <w:szCs w:val="20"/>
        </w:rPr>
        <w:t xml:space="preserve">”) fő célja, hogy támogatóinak körében forrásokat mozgósítson a magyar sport javára és ezek révén járuljon hozzá a magyar versenysport fejlődéséhez, mindenekelőtt a mindenkori olimpiai (paralimpiai) sportágakban az utánpótlás-nevelés támogatása révén; működjön közre a szükséges sport infrastruktúra kialakításában, és ha aktuálissá válik, az olimpiai és paralimpiai pályázat előkészítésében. </w:t>
      </w:r>
    </w:p>
    <w:p>
      <w:pPr>
        <w:pStyle w:val="Normal"/>
        <w:spacing w:lineRule="atLeast" w:line="280"/>
        <w:jc w:val="both"/>
        <w:rPr/>
      </w:pPr>
      <w:r>
        <w:rPr>
          <w:rFonts w:cs="Arial" w:ascii="Arial" w:hAnsi="Arial"/>
          <w:sz w:val="20"/>
          <w:szCs w:val="20"/>
        </w:rPr>
        <w:t xml:space="preserve">2019. évi tanulmányi ösztöndíj pályázattól </w:t>
      </w:r>
      <w:r>
        <w:rPr>
          <w:rFonts w:cs="Arial" w:ascii="Arial" w:hAnsi="Arial"/>
          <w:sz w:val="20"/>
          <w:szCs w:val="20"/>
        </w:rPr>
        <w:t>a Magyar Olimpiai Bizottság, mint az Alapítvány stratégiai partnere és főtámogatója is aktívan részt vesz a pályázati folyamatokban és az eddigi ösztöndíj programját (MOB Életút) az Alapítvány ösztöndíj programjában viszi tovább.</w:t>
      </w:r>
    </w:p>
    <w:p>
      <w:pPr>
        <w:pStyle w:val="Normal"/>
        <w:spacing w:lineRule="atLeast" w:line="280"/>
        <w:jc w:val="both"/>
        <w:rPr>
          <w:rFonts w:ascii="Arial" w:hAnsi="Arial" w:cs="Arial"/>
          <w:sz w:val="20"/>
          <w:szCs w:val="20"/>
        </w:rPr>
      </w:pPr>
      <w:r>
        <w:rPr>
          <w:rFonts w:cs="Arial" w:ascii="Arial" w:hAnsi="Arial"/>
          <w:sz w:val="20"/>
          <w:szCs w:val="20"/>
        </w:rPr>
      </w:r>
    </w:p>
    <w:p>
      <w:pPr>
        <w:pStyle w:val="Normal"/>
        <w:spacing w:lineRule="atLeast" w:line="280"/>
        <w:jc w:val="both"/>
        <w:rPr>
          <w:rFonts w:ascii="Arial" w:hAnsi="Arial" w:cs="Arial"/>
          <w:sz w:val="20"/>
          <w:szCs w:val="20"/>
        </w:rPr>
      </w:pPr>
      <w:r>
        <w:rPr>
          <w:rFonts w:cs="Arial" w:ascii="Arial" w:hAnsi="Arial"/>
          <w:sz w:val="20"/>
          <w:szCs w:val="20"/>
        </w:rPr>
        <w:t>Az Alapítvány Alapító Okirata alapján a céljaira rendelt vagyonból oktatási vagy egyéb ösztöndíjat, támogatást nyújthat, alapítványi díjat létesíthet; dönthet annak odaítéléséről minden olyan megoldás, tevékenység, személy vagy szervezet részére, amely az Alapítvány céljainak az eléréséhez hasznosítható eredményt ígér.</w:t>
      </w:r>
    </w:p>
    <w:p>
      <w:pPr>
        <w:pStyle w:val="Normal"/>
        <w:spacing w:lineRule="atLeast" w:line="280"/>
        <w:jc w:val="both"/>
        <w:rPr>
          <w:rFonts w:ascii="Arial" w:hAnsi="Arial" w:cs="Arial"/>
          <w:sz w:val="20"/>
          <w:szCs w:val="20"/>
        </w:rPr>
      </w:pPr>
      <w:r>
        <w:rPr>
          <w:rFonts w:cs="Arial" w:ascii="Arial" w:hAnsi="Arial"/>
          <w:sz w:val="20"/>
          <w:szCs w:val="20"/>
        </w:rPr>
      </w:r>
    </w:p>
    <w:p>
      <w:pPr>
        <w:pStyle w:val="Normal"/>
        <w:spacing w:lineRule="atLeast" w:line="280"/>
        <w:jc w:val="both"/>
        <w:rPr>
          <w:rFonts w:ascii="Arial" w:hAnsi="Arial" w:cs="Arial"/>
          <w:sz w:val="20"/>
          <w:szCs w:val="20"/>
        </w:rPr>
      </w:pPr>
      <w:r>
        <w:rPr>
          <w:rFonts w:cs="Arial" w:ascii="Arial" w:hAnsi="Arial"/>
          <w:sz w:val="20"/>
          <w:szCs w:val="20"/>
        </w:rPr>
        <w:t>A fentiekre tekintettel az Alapítvány támogatási rendszert (ösztöndíjat) hoz létre és működtet, melynek fő célja megfelelő anyagi feltételek biztosítása az olimpiára készülő és egyidejűleg tanulmányokat folytató sportolók számára, a jelen szabályzat feltételei szerint.</w:t>
      </w:r>
    </w:p>
    <w:p>
      <w:pPr>
        <w:pStyle w:val="Normal"/>
        <w:spacing w:lineRule="atLeast" w:line="280"/>
        <w:jc w:val="both"/>
        <w:rPr>
          <w:rFonts w:ascii="Arial" w:hAnsi="Arial" w:cs="Arial"/>
          <w:sz w:val="20"/>
          <w:szCs w:val="20"/>
        </w:rPr>
      </w:pPr>
      <w:r>
        <w:rPr>
          <w:rFonts w:cs="Arial" w:ascii="Arial" w:hAnsi="Arial"/>
          <w:sz w:val="20"/>
          <w:szCs w:val="20"/>
        </w:rPr>
      </w:r>
    </w:p>
    <w:p>
      <w:pPr>
        <w:pStyle w:val="Normal"/>
        <w:spacing w:lineRule="atLeast" w:line="280"/>
        <w:jc w:val="both"/>
        <w:rPr>
          <w:rFonts w:ascii="Arial" w:hAnsi="Arial" w:cs="Arial"/>
          <w:sz w:val="20"/>
          <w:szCs w:val="20"/>
        </w:rPr>
      </w:pPr>
      <w:r>
        <w:rPr>
          <w:rFonts w:cs="Arial" w:ascii="Arial" w:hAnsi="Arial"/>
          <w:sz w:val="20"/>
          <w:szCs w:val="20"/>
        </w:rPr>
        <w:t xml:space="preserve"> </w:t>
      </w:r>
    </w:p>
    <w:p>
      <w:pPr>
        <w:pStyle w:val="Normal"/>
        <w:numPr>
          <w:ilvl w:val="0"/>
          <w:numId w:val="1"/>
        </w:numPr>
        <w:spacing w:lineRule="atLeast" w:line="280"/>
        <w:jc w:val="both"/>
        <w:rPr>
          <w:rFonts w:ascii="Arial" w:hAnsi="Arial" w:cs="Arial"/>
          <w:b/>
          <w:b/>
          <w:sz w:val="20"/>
          <w:szCs w:val="20"/>
        </w:rPr>
      </w:pPr>
      <w:r>
        <w:rPr>
          <w:rFonts w:cs="Arial" w:ascii="Arial" w:hAnsi="Arial"/>
          <w:b/>
          <w:sz w:val="20"/>
          <w:szCs w:val="20"/>
        </w:rPr>
        <w:t>AZ ELNYERHETŐ TÁMOGATÁS (ÖSZTÖNDÍJ) ÖSSZEGE, FORMÁJA, VALAMINT ODAÍTÉLÉSÉNEK ALAPVETŐ SZEMPONTJAI</w:t>
      </w:r>
    </w:p>
    <w:p>
      <w:pPr>
        <w:pStyle w:val="Normal"/>
        <w:spacing w:lineRule="atLeast" w:line="280"/>
        <w:jc w:val="both"/>
        <w:rPr>
          <w:rFonts w:ascii="Arial" w:hAnsi="Arial" w:cs="Arial"/>
          <w:b/>
          <w:b/>
          <w:sz w:val="20"/>
          <w:szCs w:val="20"/>
        </w:rPr>
      </w:pPr>
      <w:r>
        <w:rPr>
          <w:rFonts w:cs="Arial" w:ascii="Arial" w:hAnsi="Arial"/>
          <w:b/>
          <w:sz w:val="20"/>
          <w:szCs w:val="20"/>
        </w:rPr>
      </w:r>
    </w:p>
    <w:p>
      <w:pPr>
        <w:pStyle w:val="Normal"/>
        <w:numPr>
          <w:ilvl w:val="0"/>
          <w:numId w:val="2"/>
        </w:numPr>
        <w:spacing w:lineRule="atLeast" w:line="280"/>
        <w:jc w:val="both"/>
        <w:rPr>
          <w:rFonts w:ascii="Arial" w:hAnsi="Arial" w:cs="Arial"/>
          <w:b/>
          <w:b/>
          <w:sz w:val="20"/>
          <w:szCs w:val="20"/>
        </w:rPr>
      </w:pPr>
      <w:r>
        <w:rPr>
          <w:rFonts w:cs="Arial" w:ascii="Arial" w:hAnsi="Arial"/>
          <w:b/>
          <w:sz w:val="20"/>
          <w:szCs w:val="20"/>
        </w:rPr>
        <w:t>Az ösztöndíj összege</w:t>
      </w:r>
    </w:p>
    <w:p>
      <w:pPr>
        <w:pStyle w:val="Normal"/>
        <w:spacing w:lineRule="atLeast" w:line="280"/>
        <w:ind w:left="360" w:hanging="0"/>
        <w:jc w:val="both"/>
        <w:rPr>
          <w:rFonts w:ascii="Arial" w:hAnsi="Arial" w:cs="Arial"/>
          <w:b/>
          <w:b/>
          <w:sz w:val="20"/>
          <w:szCs w:val="20"/>
        </w:rPr>
      </w:pPr>
      <w:r>
        <w:rPr>
          <w:rFonts w:cs="Arial" w:ascii="Arial" w:hAnsi="Arial"/>
          <w:b/>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Az elnyerhető ösztöndíj összegére vonatkozóan az Alapítvány felső korlátot nem állapít meg. Az ösztöndíj összegét az Alapítvány mindig esetileg, a pályázó sportolói és iskolai teljesítményét és szociális hátterét figyelembe véve állapítja meg.</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Az Alapítvány Kuratóriuma, a Szakmai Bizottság véleménye alapján, évente megállapítja az Alapítvány vagyonából ösztöndíjra fordítható keretösszeget, melyet az Alapítvány könyveiben elkülönítetten kezel. Az elkülönítetten kezelt keretösszegen belül sikeres pályázat esetén az Alapítvány évente meghatározza azt az összeget, amely az adott évben kiírt pályázaton nyertes sportoló(k) részére kerül kifizetésre.</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Az Alapítvány az ösztöndíjként kifizetett támogatási összegeket számviteli nyilvántartásában elkülönítetten kezeli, a támogatási összeg felhasználására nézve elkülönített számviteli nyilvántartást vezet, illetőleg a felhasználást dokumentáló számlákat, bizonylatokat, szerződéseket, egyéb okiratokat ellenőrizhető módon kezeli és nyilvántartja, valamint az irányadó jogszabályok szerint megőrzi.</w:t>
      </w:r>
    </w:p>
    <w:p>
      <w:pPr>
        <w:pStyle w:val="Normal"/>
        <w:spacing w:lineRule="atLeast" w:line="280"/>
        <w:ind w:left="360" w:hanging="0"/>
        <w:jc w:val="both"/>
        <w:rPr>
          <w:rFonts w:ascii="Arial" w:hAnsi="Arial" w:cs="Arial"/>
          <w:b/>
          <w:b/>
          <w:sz w:val="20"/>
          <w:szCs w:val="20"/>
        </w:rPr>
      </w:pPr>
      <w:r>
        <w:rPr>
          <w:rFonts w:cs="Arial" w:ascii="Arial" w:hAnsi="Arial"/>
          <w:b/>
          <w:sz w:val="20"/>
          <w:szCs w:val="20"/>
        </w:rPr>
      </w:r>
    </w:p>
    <w:p>
      <w:pPr>
        <w:pStyle w:val="Normal"/>
        <w:numPr>
          <w:ilvl w:val="0"/>
          <w:numId w:val="2"/>
        </w:numPr>
        <w:spacing w:lineRule="atLeast" w:line="280"/>
        <w:jc w:val="both"/>
        <w:rPr>
          <w:rFonts w:ascii="Arial" w:hAnsi="Arial" w:cs="Arial"/>
          <w:b/>
          <w:b/>
          <w:sz w:val="20"/>
          <w:szCs w:val="20"/>
        </w:rPr>
      </w:pPr>
      <w:r>
        <w:rPr>
          <w:rFonts w:cs="Arial" w:ascii="Arial" w:hAnsi="Arial"/>
          <w:b/>
          <w:sz w:val="20"/>
          <w:szCs w:val="20"/>
        </w:rPr>
        <w:t>Az ösztöndíj formája</w:t>
      </w:r>
    </w:p>
    <w:p>
      <w:pPr>
        <w:pStyle w:val="Normal"/>
        <w:spacing w:lineRule="atLeast" w:line="280"/>
        <w:ind w:left="360" w:hanging="0"/>
        <w:jc w:val="both"/>
        <w:rPr>
          <w:rFonts w:ascii="Arial" w:hAnsi="Arial" w:cs="Arial"/>
          <w:b/>
          <w:b/>
          <w:sz w:val="20"/>
          <w:szCs w:val="20"/>
        </w:rPr>
      </w:pPr>
      <w:r>
        <w:rPr>
          <w:rFonts w:cs="Arial" w:ascii="Arial" w:hAnsi="Arial"/>
          <w:b/>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Az elnyerhető ösztöndíj pénzbeli támogatás, melynek elsődleges célja a nyertes pályázó által folytatott tanulmányok költségének, elsősorban tandíjának finanszírozása.</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Az ösztöndíj folyósítására vonatkozóan az Alapítvány legfeljebb tanulmányainak várható befejezéséig köt szerződést a nyertes pályázóval.</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Az ösztöndíj összegét az Alapítvány banki átutalás útján folyósítja a nyertes pályázó nevében az adott oktatási intézmény számlájára (lásd IV.1. pont).</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Az ösztöndíj összegének közvetlenül a sportoló részére történő kifizetésére az Alapítvány Szakmai Bizottságának javaslata alapján, az Alapítvány Kuratóriumának egyedi döntése alapján esetileg, csak különös méltánylást érdemlő és indokolt esetben kerülhet sor.</w:t>
      </w:r>
    </w:p>
    <w:p>
      <w:pPr>
        <w:pStyle w:val="Normal"/>
        <w:spacing w:lineRule="atLeast" w:line="280"/>
        <w:ind w:left="360" w:hanging="0"/>
        <w:jc w:val="both"/>
        <w:rPr>
          <w:rFonts w:ascii="Arial" w:hAnsi="Arial" w:cs="Arial"/>
          <w:sz w:val="20"/>
          <w:szCs w:val="20"/>
        </w:rPr>
      </w:pPr>
      <w:r>
        <w:rPr>
          <w:rFonts w:cs="Arial" w:ascii="Arial" w:hAnsi="Arial"/>
          <w:sz w:val="20"/>
          <w:szCs w:val="20"/>
        </w:rPr>
      </w:r>
    </w:p>
    <w:p>
      <w:pPr>
        <w:pStyle w:val="Normal"/>
        <w:numPr>
          <w:ilvl w:val="0"/>
          <w:numId w:val="2"/>
        </w:numPr>
        <w:spacing w:lineRule="atLeast" w:line="280"/>
        <w:jc w:val="both"/>
        <w:rPr>
          <w:rFonts w:ascii="Arial" w:hAnsi="Arial" w:cs="Arial"/>
          <w:b/>
          <w:b/>
          <w:sz w:val="20"/>
          <w:szCs w:val="20"/>
        </w:rPr>
      </w:pPr>
      <w:r>
        <w:rPr>
          <w:rFonts w:cs="Arial" w:ascii="Arial" w:hAnsi="Arial"/>
          <w:b/>
          <w:sz w:val="20"/>
          <w:szCs w:val="20"/>
        </w:rPr>
        <w:t>Az ösztöndíj odaítélésének alapvető szempontjai</w:t>
      </w:r>
    </w:p>
    <w:p>
      <w:pPr>
        <w:pStyle w:val="Normal"/>
        <w:spacing w:lineRule="atLeast" w:line="280"/>
        <w:ind w:left="360" w:hanging="0"/>
        <w:jc w:val="both"/>
        <w:rPr>
          <w:rFonts w:ascii="Arial" w:hAnsi="Arial" w:cs="Arial"/>
          <w:b/>
          <w:b/>
          <w:sz w:val="20"/>
          <w:szCs w:val="20"/>
        </w:rPr>
      </w:pPr>
      <w:r>
        <w:rPr>
          <w:rFonts w:cs="Arial" w:ascii="Arial" w:hAnsi="Arial"/>
          <w:b/>
          <w:sz w:val="20"/>
          <w:szCs w:val="20"/>
        </w:rPr>
      </w:r>
    </w:p>
    <w:p>
      <w:pPr>
        <w:pStyle w:val="Normal"/>
        <w:numPr>
          <w:ilvl w:val="1"/>
          <w:numId w:val="2"/>
        </w:numPr>
        <w:spacing w:lineRule="atLeast" w:line="280"/>
        <w:jc w:val="both"/>
        <w:rPr>
          <w:rFonts w:ascii="Arial" w:hAnsi="Arial" w:cs="Arial"/>
          <w:b/>
          <w:b/>
          <w:sz w:val="20"/>
          <w:szCs w:val="20"/>
        </w:rPr>
      </w:pPr>
      <w:r>
        <w:rPr>
          <w:rFonts w:cs="Arial" w:ascii="Arial" w:hAnsi="Arial"/>
          <w:b/>
          <w:sz w:val="20"/>
          <w:szCs w:val="20"/>
        </w:rPr>
        <w:t>Sporttevékenység</w:t>
      </w:r>
    </w:p>
    <w:p>
      <w:pPr>
        <w:pStyle w:val="Normal"/>
        <w:spacing w:lineRule="atLeast" w:line="280"/>
        <w:ind w:left="360" w:hanging="0"/>
        <w:jc w:val="both"/>
        <w:rPr>
          <w:rFonts w:ascii="Arial" w:hAnsi="Arial" w:cs="Arial"/>
          <w:sz w:val="20"/>
          <w:szCs w:val="20"/>
        </w:rPr>
      </w:pPr>
      <w:r>
        <w:rPr>
          <w:rFonts w:cs="Arial" w:ascii="Arial" w:hAnsi="Arial"/>
          <w:sz w:val="20"/>
          <w:szCs w:val="20"/>
        </w:rPr>
      </w:r>
    </w:p>
    <w:p>
      <w:pPr>
        <w:pStyle w:val="Normal"/>
        <w:spacing w:lineRule="atLeast" w:line="280"/>
        <w:ind w:left="1080" w:hanging="0"/>
        <w:jc w:val="both"/>
        <w:rPr>
          <w:rFonts w:ascii="Arial" w:hAnsi="Arial" w:cs="Arial"/>
          <w:sz w:val="20"/>
          <w:szCs w:val="20"/>
        </w:rPr>
      </w:pPr>
      <w:r>
        <w:rPr>
          <w:rFonts w:cs="Arial" w:ascii="Arial" w:hAnsi="Arial"/>
          <w:sz w:val="20"/>
          <w:szCs w:val="20"/>
        </w:rPr>
        <w:t xml:space="preserve">Az ösztöndíjra kizárólag valamely, a Nemzetközi Olimpiai Bizottság, illetve a Nemzetközi Paralimpiai Bizottság által olimpiai, vagy paralimpiai sportágként meghatározott sportágban szereplő és a szakszövetség által igazolt sportoló pályázhat. </w:t>
      </w:r>
    </w:p>
    <w:p>
      <w:pPr>
        <w:pStyle w:val="Normal"/>
        <w:spacing w:lineRule="atLeast" w:line="280"/>
        <w:ind w:left="360" w:hanging="0"/>
        <w:jc w:val="both"/>
        <w:rPr>
          <w:rFonts w:ascii="Arial" w:hAnsi="Arial" w:cs="Arial"/>
          <w:sz w:val="20"/>
          <w:szCs w:val="20"/>
        </w:rPr>
      </w:pPr>
      <w:r>
        <w:rPr>
          <w:rFonts w:cs="Arial" w:ascii="Arial" w:hAnsi="Arial"/>
          <w:sz w:val="20"/>
          <w:szCs w:val="20"/>
        </w:rPr>
      </w:r>
    </w:p>
    <w:p>
      <w:pPr>
        <w:pStyle w:val="Normal"/>
        <w:spacing w:lineRule="atLeast" w:line="280"/>
        <w:ind w:left="1080" w:hanging="0"/>
        <w:jc w:val="both"/>
        <w:rPr>
          <w:rFonts w:ascii="Arial" w:hAnsi="Arial" w:cs="Arial"/>
          <w:sz w:val="20"/>
          <w:szCs w:val="20"/>
        </w:rPr>
      </w:pPr>
      <w:r>
        <w:rPr>
          <w:rFonts w:cs="Arial" w:ascii="Arial" w:hAnsi="Arial"/>
          <w:sz w:val="20"/>
          <w:szCs w:val="20"/>
        </w:rPr>
        <w:t>A pályázat feltétele, hogy a pályázó sportoló az adott sportágban elért eredményei alapján olimpiai, vagy paralimpiai kerettagnak minősül, vagy a szakszövetség indokolt, írásbeli véleménye alapján eséllyel vehet részt a pályázat évét követő legközelebbi nyári vagy téli olimpiai, illetve paralimpiai játékokon.</w:t>
      </w:r>
    </w:p>
    <w:p>
      <w:pPr>
        <w:pStyle w:val="Normal"/>
        <w:spacing w:lineRule="atLeast" w:line="280"/>
        <w:ind w:left="360" w:hanging="0"/>
        <w:jc w:val="both"/>
        <w:rPr>
          <w:rFonts w:ascii="Arial" w:hAnsi="Arial" w:cs="Arial"/>
          <w:sz w:val="20"/>
          <w:szCs w:val="20"/>
        </w:rPr>
      </w:pPr>
      <w:r>
        <w:rPr>
          <w:rFonts w:cs="Arial" w:ascii="Arial" w:hAnsi="Arial"/>
          <w:sz w:val="20"/>
          <w:szCs w:val="20"/>
        </w:rPr>
      </w:r>
    </w:p>
    <w:p>
      <w:pPr>
        <w:pStyle w:val="Normal"/>
        <w:numPr>
          <w:ilvl w:val="1"/>
          <w:numId w:val="2"/>
        </w:numPr>
        <w:spacing w:lineRule="atLeast" w:line="280"/>
        <w:jc w:val="both"/>
        <w:rPr>
          <w:rFonts w:ascii="Arial" w:hAnsi="Arial" w:cs="Arial"/>
          <w:b/>
          <w:b/>
          <w:sz w:val="20"/>
          <w:szCs w:val="20"/>
        </w:rPr>
      </w:pPr>
      <w:r>
        <w:rPr>
          <w:rFonts w:cs="Arial" w:ascii="Arial" w:hAnsi="Arial"/>
          <w:b/>
          <w:sz w:val="20"/>
          <w:szCs w:val="20"/>
        </w:rPr>
        <w:t>Tanulmányok</w:t>
      </w:r>
    </w:p>
    <w:p>
      <w:pPr>
        <w:pStyle w:val="Normal"/>
        <w:spacing w:lineRule="atLeast" w:line="280"/>
        <w:jc w:val="both"/>
        <w:rPr>
          <w:rFonts w:ascii="Arial" w:hAnsi="Arial" w:cs="Arial"/>
          <w:sz w:val="20"/>
          <w:szCs w:val="20"/>
        </w:rPr>
      </w:pPr>
      <w:r>
        <w:rPr>
          <w:rFonts w:cs="Arial" w:ascii="Arial" w:hAnsi="Arial"/>
          <w:sz w:val="20"/>
          <w:szCs w:val="20"/>
        </w:rPr>
      </w:r>
    </w:p>
    <w:p>
      <w:pPr>
        <w:pStyle w:val="Normal"/>
        <w:spacing w:lineRule="atLeast" w:line="280"/>
        <w:ind w:left="1080" w:hanging="0"/>
        <w:jc w:val="both"/>
        <w:rPr>
          <w:rFonts w:ascii="Arial" w:hAnsi="Arial" w:cs="Arial"/>
          <w:sz w:val="20"/>
          <w:szCs w:val="20"/>
        </w:rPr>
      </w:pPr>
      <w:r>
        <w:rPr>
          <w:rFonts w:cs="Arial" w:ascii="Arial" w:hAnsi="Arial"/>
          <w:sz w:val="20"/>
          <w:szCs w:val="20"/>
        </w:rPr>
        <w:t>Az ösztöndíjra kizárólag olyan sportoló pályázhat, aki - az oktatás finanszírozási formájától függetlenül - a vonatkozó jogszabályok szerint közép-, vagy felsőfokú, iskolarendszerű (tanulói vagy hallgatói jogviszony keretében folytatott) vagy iskolarendszeren kívüli, közoktatási intézmény vagy akkreditált, nem állami fenntartású intézmény által nyújtott oktatásban, illetve képzésben vesz részt, és ezt az adott intézmény igazolja.</w:t>
      </w:r>
    </w:p>
    <w:p>
      <w:pPr>
        <w:pStyle w:val="Normal"/>
        <w:spacing w:lineRule="atLeast" w:line="280"/>
        <w:ind w:left="360" w:hanging="0"/>
        <w:jc w:val="both"/>
        <w:rPr>
          <w:rFonts w:ascii="Arial" w:hAnsi="Arial" w:cs="Arial"/>
          <w:sz w:val="20"/>
          <w:szCs w:val="20"/>
        </w:rPr>
      </w:pPr>
      <w:r>
        <w:rPr>
          <w:rFonts w:cs="Arial" w:ascii="Arial" w:hAnsi="Arial"/>
          <w:sz w:val="20"/>
          <w:szCs w:val="20"/>
        </w:rPr>
      </w:r>
    </w:p>
    <w:p>
      <w:pPr>
        <w:pStyle w:val="Normal"/>
        <w:numPr>
          <w:ilvl w:val="1"/>
          <w:numId w:val="2"/>
        </w:numPr>
        <w:spacing w:lineRule="atLeast" w:line="280"/>
        <w:jc w:val="both"/>
        <w:rPr>
          <w:rFonts w:ascii="Arial" w:hAnsi="Arial" w:cs="Arial"/>
          <w:b/>
          <w:b/>
          <w:sz w:val="20"/>
          <w:szCs w:val="20"/>
        </w:rPr>
      </w:pPr>
      <w:r>
        <w:rPr>
          <w:rFonts w:cs="Arial" w:ascii="Arial" w:hAnsi="Arial"/>
          <w:b/>
          <w:sz w:val="20"/>
          <w:szCs w:val="20"/>
        </w:rPr>
        <w:t>Szociális háttér</w:t>
      </w:r>
    </w:p>
    <w:p>
      <w:pPr>
        <w:pStyle w:val="Normal"/>
        <w:spacing w:lineRule="atLeast" w:line="280"/>
        <w:jc w:val="both"/>
        <w:rPr>
          <w:rFonts w:ascii="Arial" w:hAnsi="Arial" w:cs="Arial"/>
          <w:sz w:val="20"/>
          <w:szCs w:val="20"/>
        </w:rPr>
      </w:pPr>
      <w:r>
        <w:rPr>
          <w:rFonts w:cs="Arial" w:ascii="Arial" w:hAnsi="Arial"/>
          <w:sz w:val="20"/>
          <w:szCs w:val="20"/>
        </w:rPr>
      </w:r>
    </w:p>
    <w:p>
      <w:pPr>
        <w:pStyle w:val="Normal"/>
        <w:spacing w:lineRule="atLeast" w:line="280"/>
        <w:ind w:left="1080" w:hanging="0"/>
        <w:jc w:val="both"/>
        <w:rPr>
          <w:rFonts w:ascii="Arial" w:hAnsi="Arial" w:cs="Arial"/>
          <w:sz w:val="20"/>
          <w:szCs w:val="20"/>
        </w:rPr>
      </w:pPr>
      <w:r>
        <w:rPr>
          <w:rFonts w:cs="Arial" w:ascii="Arial" w:hAnsi="Arial"/>
          <w:sz w:val="20"/>
          <w:szCs w:val="20"/>
        </w:rPr>
        <w:t>Az ösztöndíj odaítélésekor az Alapítvány mindenkor figyelembe veszi a pályázó szociális háttérét.</w:t>
      </w:r>
    </w:p>
    <w:p>
      <w:pPr>
        <w:pStyle w:val="Normal"/>
        <w:spacing w:lineRule="atLeast" w:line="280"/>
        <w:ind w:left="1080" w:hanging="0"/>
        <w:jc w:val="both"/>
        <w:rPr>
          <w:rFonts w:ascii="Arial" w:hAnsi="Arial" w:cs="Arial"/>
          <w:sz w:val="20"/>
          <w:szCs w:val="20"/>
        </w:rPr>
      </w:pPr>
      <w:r>
        <w:rPr>
          <w:rFonts w:cs="Arial" w:ascii="Arial" w:hAnsi="Arial"/>
          <w:sz w:val="20"/>
          <w:szCs w:val="20"/>
        </w:rPr>
      </w:r>
    </w:p>
    <w:p>
      <w:pPr>
        <w:pStyle w:val="Normal"/>
        <w:spacing w:lineRule="atLeast" w:line="280"/>
        <w:ind w:left="1080" w:hanging="0"/>
        <w:jc w:val="both"/>
        <w:rPr>
          <w:rFonts w:ascii="Arial" w:hAnsi="Arial" w:cs="Arial"/>
          <w:sz w:val="20"/>
          <w:szCs w:val="20"/>
        </w:rPr>
      </w:pPr>
      <w:r>
        <w:rPr>
          <w:rFonts w:cs="Arial" w:ascii="Arial" w:hAnsi="Arial"/>
          <w:sz w:val="20"/>
          <w:szCs w:val="20"/>
        </w:rPr>
        <w:t>Az ösztöndíj elsődlegesen a szociálisan rászoruló, eredményes sportolók tanulmányainak finanszírozását hivatott biztosítani, mely kritériumot az ösztöndíj pályázatok elbírálásakor az Alapítvány Szakmai Bizottsága és Kuratóriuma figyelembe vesz.</w:t>
      </w:r>
    </w:p>
    <w:p>
      <w:pPr>
        <w:pStyle w:val="Normal"/>
        <w:spacing w:lineRule="atLeast" w:line="280"/>
        <w:ind w:left="360" w:hanging="0"/>
        <w:jc w:val="both"/>
        <w:rPr>
          <w:rFonts w:ascii="Arial" w:hAnsi="Arial" w:cs="Arial"/>
          <w:sz w:val="20"/>
          <w:szCs w:val="20"/>
        </w:rPr>
      </w:pPr>
      <w:r>
        <w:rPr>
          <w:rFonts w:cs="Arial" w:ascii="Arial" w:hAnsi="Arial"/>
          <w:sz w:val="20"/>
          <w:szCs w:val="20"/>
        </w:rPr>
      </w:r>
    </w:p>
    <w:p>
      <w:pPr>
        <w:pStyle w:val="Normal"/>
        <w:numPr>
          <w:ilvl w:val="0"/>
          <w:numId w:val="1"/>
        </w:numPr>
        <w:spacing w:lineRule="atLeast" w:line="280"/>
        <w:jc w:val="both"/>
        <w:rPr>
          <w:rFonts w:ascii="Arial" w:hAnsi="Arial" w:cs="Arial"/>
          <w:b/>
          <w:b/>
          <w:sz w:val="20"/>
          <w:szCs w:val="20"/>
        </w:rPr>
      </w:pPr>
      <w:r>
        <w:rPr>
          <w:rFonts w:cs="Arial" w:ascii="Arial" w:hAnsi="Arial"/>
          <w:b/>
          <w:sz w:val="20"/>
          <w:szCs w:val="20"/>
        </w:rPr>
        <w:t>A PÁLYÁZAT BENYÚJTÁSÁNAK FELTÉTELEI</w:t>
      </w:r>
    </w:p>
    <w:p>
      <w:pPr>
        <w:pStyle w:val="Normal"/>
        <w:spacing w:lineRule="atLeast" w:line="280"/>
        <w:jc w:val="both"/>
        <w:rPr>
          <w:rFonts w:ascii="Arial" w:hAnsi="Arial" w:cs="Arial"/>
          <w:b/>
          <w:b/>
          <w:sz w:val="20"/>
          <w:szCs w:val="20"/>
        </w:rPr>
      </w:pPr>
      <w:r>
        <w:rPr>
          <w:rFonts w:cs="Arial" w:ascii="Arial" w:hAnsi="Arial"/>
          <w:b/>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Az ösztöndíjra való jogosultság alapvető feltétele, hogy a pályázó sportoló:</w:t>
      </w:r>
    </w:p>
    <w:p>
      <w:pPr>
        <w:pStyle w:val="Normal"/>
        <w:spacing w:lineRule="atLeast" w:line="280"/>
        <w:ind w:left="360" w:hanging="0"/>
        <w:jc w:val="both"/>
        <w:rPr>
          <w:rFonts w:ascii="Arial" w:hAnsi="Arial" w:cs="Arial"/>
          <w:sz w:val="20"/>
          <w:szCs w:val="20"/>
        </w:rPr>
      </w:pPr>
      <w:r>
        <w:rPr>
          <w:rFonts w:cs="Arial" w:ascii="Arial" w:hAnsi="Arial"/>
          <w:sz w:val="20"/>
          <w:szCs w:val="20"/>
        </w:rPr>
      </w:r>
    </w:p>
    <w:p>
      <w:pPr>
        <w:pStyle w:val="Normal"/>
        <w:numPr>
          <w:ilvl w:val="1"/>
          <w:numId w:val="3"/>
        </w:numPr>
        <w:spacing w:lineRule="atLeast" w:line="280"/>
        <w:jc w:val="both"/>
        <w:rPr>
          <w:rFonts w:ascii="Arial" w:hAnsi="Arial" w:cs="Arial"/>
          <w:sz w:val="20"/>
          <w:szCs w:val="20"/>
        </w:rPr>
      </w:pPr>
      <w:r>
        <w:rPr>
          <w:rFonts w:cs="Arial" w:ascii="Arial" w:hAnsi="Arial"/>
          <w:sz w:val="20"/>
          <w:szCs w:val="20"/>
        </w:rPr>
        <w:t>olimpiai, vagy paralimpiai sportágban szerepel és a saját sportági szakszövetsége együttműködési megállapodást köt az Alapítvánnyal;</w:t>
      </w:r>
    </w:p>
    <w:p>
      <w:pPr>
        <w:pStyle w:val="Normal"/>
        <w:numPr>
          <w:ilvl w:val="1"/>
          <w:numId w:val="3"/>
        </w:numPr>
        <w:spacing w:lineRule="atLeast" w:line="280"/>
        <w:jc w:val="both"/>
        <w:rPr>
          <w:rFonts w:ascii="Arial" w:hAnsi="Arial" w:cs="Arial"/>
          <w:sz w:val="20"/>
          <w:szCs w:val="20"/>
        </w:rPr>
      </w:pPr>
      <w:r>
        <w:rPr>
          <w:rFonts w:cs="Arial" w:ascii="Arial" w:hAnsi="Arial"/>
          <w:sz w:val="20"/>
          <w:szCs w:val="20"/>
        </w:rPr>
        <w:t>olimpiai, vagy paralimpiai)kerettag vagy a pályázat évét követő legközelebbi olimpiai, illetve paralimipiai játékokon történő részvételre készül;</w:t>
      </w:r>
    </w:p>
    <w:p>
      <w:pPr>
        <w:pStyle w:val="Normal"/>
        <w:numPr>
          <w:ilvl w:val="1"/>
          <w:numId w:val="3"/>
        </w:numPr>
        <w:spacing w:lineRule="atLeast" w:line="280"/>
        <w:jc w:val="both"/>
        <w:rPr>
          <w:rFonts w:ascii="Arial" w:hAnsi="Arial" w:cs="Arial"/>
          <w:sz w:val="20"/>
          <w:szCs w:val="20"/>
        </w:rPr>
      </w:pPr>
      <w:r>
        <w:rPr>
          <w:rFonts w:cs="Arial" w:ascii="Arial" w:hAnsi="Arial"/>
          <w:sz w:val="20"/>
          <w:szCs w:val="20"/>
        </w:rPr>
        <w:t>közép-, vagy felsőfokú, iskolarendszerű (tanulói vagy hallgatói jogviszony keretében folytatott) vagy iskolarendszeren kívüli, közoktatási intézmény vagy akkreditált, nem állami fenntartású intézmény által nyújtott oktatásban, illetve képzésben vesz részt;</w:t>
      </w:r>
    </w:p>
    <w:p>
      <w:pPr>
        <w:pStyle w:val="Normal"/>
        <w:spacing w:lineRule="atLeast" w:line="280"/>
        <w:ind w:left="360"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Az Alapítvány a sportoló pályázatát abban az esetben fogadhatja el, ha a fenti a) és b) pontokban foglalt feltételek teljesülését az adott sportág szakszövetsége írásban, főtitkári vagy elnöki javaslattal, pecséttel és aláírással ellátva igazolja.</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Az Alapítvány a sportoló pályázatát abban az esetben fogadhatja el, ha a fenti c) pontban foglalt feltétel teljesülését a képzést nyújtó intézmény által kiadott írásbeli igazolással igazolja.</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Az Alapítvány a pályázatok elbírálásakor a szociális rászorultságot külön figyelembe veszi. A pályázó sportoló szociális rászorultságát az Alapítvány Szakmai Bizottsága és Kuratóriuma a sportoló igazolt jövedelme (ha van ilyen), az általa fizetendő tandíj összege, az esetlegesen más forrásból a sportoló részére juttatott egyéb támogatások összege alapján mérlegeli.</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Az egyes pályázatok konkrét feltételeit az Alapítvány Szakmai Bizottsága és Kuratóriuma az adott pályázati kiírásban esetileg állapítja meg.</w:t>
      </w:r>
    </w:p>
    <w:p>
      <w:pPr>
        <w:pStyle w:val="Normal"/>
        <w:spacing w:lineRule="atLeast" w:line="280"/>
        <w:ind w:left="360" w:hanging="0"/>
        <w:jc w:val="both"/>
        <w:rPr>
          <w:rFonts w:ascii="Arial" w:hAnsi="Arial" w:cs="Arial"/>
          <w:sz w:val="20"/>
          <w:szCs w:val="20"/>
        </w:rPr>
      </w:pPr>
      <w:r>
        <w:rPr>
          <w:rFonts w:cs="Arial" w:ascii="Arial" w:hAnsi="Arial"/>
          <w:sz w:val="20"/>
          <w:szCs w:val="20"/>
        </w:rPr>
      </w:r>
    </w:p>
    <w:p>
      <w:pPr>
        <w:pStyle w:val="Normal"/>
        <w:numPr>
          <w:ilvl w:val="0"/>
          <w:numId w:val="1"/>
        </w:numPr>
        <w:spacing w:lineRule="atLeast" w:line="280"/>
        <w:jc w:val="both"/>
        <w:rPr>
          <w:rFonts w:ascii="Arial" w:hAnsi="Arial" w:cs="Arial"/>
          <w:b/>
          <w:b/>
          <w:sz w:val="20"/>
          <w:szCs w:val="20"/>
        </w:rPr>
      </w:pPr>
      <w:r>
        <w:rPr>
          <w:rFonts w:cs="Arial" w:ascii="Arial" w:hAnsi="Arial"/>
          <w:b/>
          <w:sz w:val="20"/>
          <w:szCs w:val="20"/>
        </w:rPr>
        <w:t>A PÁLYÁZAT ELBÍRÁLÁSÁNAK SZEMPONTJAI ÉS FOLYAMATA</w:t>
      </w:r>
    </w:p>
    <w:p>
      <w:pPr>
        <w:pStyle w:val="Normal"/>
        <w:spacing w:lineRule="atLeast" w:line="280"/>
        <w:ind w:left="360" w:hanging="0"/>
        <w:jc w:val="both"/>
        <w:rPr>
          <w:rFonts w:ascii="Arial" w:hAnsi="Arial" w:cs="Arial"/>
          <w:b/>
          <w:b/>
          <w:sz w:val="20"/>
          <w:szCs w:val="20"/>
        </w:rPr>
      </w:pPr>
      <w:r>
        <w:rPr>
          <w:rFonts w:cs="Arial" w:ascii="Arial" w:hAnsi="Arial"/>
          <w:b/>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Pályázatokat az Alapítvány által meghatározott, és az Alapítvány honlapján meghirdetett pályázatra történő jelentkezéssel, az abban meghatározott határidőben lehet benyújtani. A beérkezett pályázatokat elsőként az Alapítvány Szakmai Bizottsága értékeli.</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 Szakmai Bizottság a benyújtott pályázatokat először alaki szempontból vizsgálja meg. A Szakmai Bizottság saját döntése alapján jogosult a hibás, hiányos vagy olyan pályázat elutasítására, amelyről egyértelműen megállapítható, hogy valótlan adatokat tartalmaz. A Szakmai Bizottság által alaki okokból vagy valótlanság miatt elutasított pályázatok nem kerülnek továbbításra a Kuratórium részére.</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 Szakmai Bizottság az alakilag megfelelő pályázatokat prioritási sorrendbe helyezi. A prioritási sorrend meghatározása és véglegesítése egyedi módon, a pályázatban igazolt sportszakmai, tanulmányi, szociális helyzet figyelembe vételével történik.</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Az Alapítvány Szakmai Bizottsága az általa értékelt és a fenti szempontok szerint prioritási sorrendbe helyezett pályázatokat, véleményével együtt továbbítja az Alapítvány Kuratóriuma részére.</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 Kuratórium a Szakmai Bizottság által felállított prioritási sorrend alapján és a Szakmai Bizottság véleményének figyelembe vételével, saját mérlegelése szerint, egyénileg dönt az ösztöndíj odaítéléséről. A döntéseket a meghirdetett pályázatok benyújtásának határidejét követő 30 napon belül kell meghozni.</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Az ösztöndíjban részesülő sportoló a támogatási szerződésben nyilatkozik arról, hogy az Alapítvánnyal megkötött szerződésből eredő kötelezettségei nem befolyásolják a sportoló más szervezettel megkötött szerződése alapján esetlegesen fennálló kötelezettségeinek teljesítését, illetve azokkal nem ütközik,</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numPr>
          <w:ilvl w:val="0"/>
          <w:numId w:val="1"/>
        </w:numPr>
        <w:spacing w:lineRule="atLeast" w:line="280"/>
        <w:jc w:val="both"/>
        <w:rPr>
          <w:rFonts w:ascii="Arial" w:hAnsi="Arial" w:cs="Arial"/>
          <w:b/>
          <w:b/>
          <w:sz w:val="20"/>
          <w:szCs w:val="20"/>
        </w:rPr>
      </w:pPr>
      <w:r>
        <w:rPr>
          <w:rFonts w:cs="Arial" w:ascii="Arial" w:hAnsi="Arial"/>
          <w:b/>
          <w:sz w:val="20"/>
          <w:szCs w:val="20"/>
        </w:rPr>
        <w:t>AZ ÖSZÖNDÍJ FOLYÓSÍTÁSA</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numPr>
          <w:ilvl w:val="0"/>
          <w:numId w:val="4"/>
        </w:numPr>
        <w:spacing w:lineRule="atLeast" w:line="280"/>
        <w:jc w:val="both"/>
        <w:rPr>
          <w:rFonts w:ascii="Arial" w:hAnsi="Arial" w:cs="Arial"/>
          <w:b/>
          <w:b/>
          <w:sz w:val="20"/>
          <w:szCs w:val="20"/>
        </w:rPr>
      </w:pPr>
      <w:r>
        <w:rPr>
          <w:rFonts w:cs="Arial" w:ascii="Arial" w:hAnsi="Arial"/>
          <w:b/>
          <w:sz w:val="20"/>
          <w:szCs w:val="20"/>
        </w:rPr>
        <w:t>A támogatási szerződés</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 xml:space="preserve">Az Alapítvány a pályázat nyertesével az ösztöndíj folyósítására vonatkozóan támogatási szerződést köt legfeljebb a sportoló tanulmányainak befejezéséig tartó határozott időtartamra. </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 xml:space="preserve">Az ösztöndíj kifizetése főszabályként (az oktatási szemeszterekhez igazodóan) banki átutalás útján, a nyertes pályázó nevében az adott oktatási intézmény számlájára történik. </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Egy tanulmányi félévre vonatkozóan ugyanazon nyertes sportoló részére az ösztöndíj csak egy alkalommal kerülhet kifizetésre.</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Az ösztöndíj vissza nem térítendő támogatásként kerül a nyertes pályázó részére kifizetésre.</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Az ösztöndíjat elnyert sportoló a már kifizetésre került ösztöndíj összegének visszafizetésére kizárólag a Kuratórium ilyen értelmű döntése alapján kötelezhető abban az esetben, ha a folyósítás időtartama alatt megállapítható, hogy a sportoló az ösztöndíjra eleve nem lett volna jogosult vagy jogosultsága a folyósítás időtartama alatt - a már kifizetett összegek vonatkozásában is - bármely ok miatt megszűnik. A visszafizetésre okot adó körülményeket az Alapítvány az ösztöndíjas sportolóval megkötendő szerződésben határozza meg.</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numPr>
          <w:ilvl w:val="0"/>
          <w:numId w:val="4"/>
        </w:numPr>
        <w:spacing w:lineRule="atLeast" w:line="280"/>
        <w:jc w:val="both"/>
        <w:rPr>
          <w:rFonts w:ascii="Arial" w:hAnsi="Arial" w:cs="Arial"/>
          <w:b/>
          <w:b/>
          <w:sz w:val="20"/>
          <w:szCs w:val="20"/>
        </w:rPr>
      </w:pPr>
      <w:r>
        <w:rPr>
          <w:rFonts w:cs="Arial" w:ascii="Arial" w:hAnsi="Arial"/>
          <w:b/>
          <w:sz w:val="20"/>
          <w:szCs w:val="20"/>
        </w:rPr>
        <w:t>Az ösztöndíjra vonatkozó jogosultság felülvizsgálata</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Az Alapítvány Szakmai Bizottsága évente felülvizsgálja a nyertes pályázó jogosultságát a részére kifizetésre kerülő ösztöndíjra vonatkozóan, és indokolt esetben javaslatot tesz a Kuratórium részére az ösztöndíjak folyósítását érintő módosításokra.</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Az ösztöndíjat elnyert sportoló az ösztöndíjra való jogosultságát megalapozó adataiban, illetve körülményeiben bekövetkezett bármely változást (különösen, de nem kizárólagosan, a sportoló hallgatói jogviszonya vagy az ösztöndíj alapjául szolgáló tanulmányai módosítását, szüneteltetését vagy megszűnését, illetve sporttevékenységének szüneteltetését vagy megszüntetését) köteles haladéktalanul, de legkésőbb a változás bekövetkezésétől számított 8 (nyolc) napon belül írásban jelezni az Alapítvány Szakmai Bizottsága részére, amely azt, véleményével együtt továbbítja a Kuratórium részére.</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Az ösztöndíjat elnyert sportoló félévente (a tanulmányi szemeszter lezárását követően) köteles eljuttatni az Alapítvány Szakmai Bizottsága részére a szemeszter sikeres lezárását igazoló leckekönyvének másolatát.</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numPr>
          <w:ilvl w:val="0"/>
          <w:numId w:val="4"/>
        </w:numPr>
        <w:spacing w:lineRule="atLeast" w:line="280"/>
        <w:jc w:val="both"/>
        <w:rPr>
          <w:rFonts w:ascii="Arial" w:hAnsi="Arial" w:cs="Arial"/>
          <w:b/>
          <w:b/>
          <w:sz w:val="20"/>
          <w:szCs w:val="20"/>
        </w:rPr>
      </w:pPr>
      <w:r>
        <w:rPr>
          <w:rFonts w:cs="Arial" w:ascii="Arial" w:hAnsi="Arial"/>
          <w:b/>
          <w:sz w:val="20"/>
          <w:szCs w:val="20"/>
        </w:rPr>
        <w:t>Az ösztöndíj folyósításának felfüggesztése, felmondása, illetve a szerződéstől való elállás</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3.1. A támogatási szerződés felfüggesztése és felmondás</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 xml:space="preserve">Amennyiben a sportoló az adataiban, körülményeiben bekövetkezett esetleges változásokra, illetve tanulmányai sikeres folytatásának igazolására vonatkozó adatszolgáltatási kötelezettségét elmulasztja, az Alapítvány Kuratóriuma, a Szakmai Bizottság véleményének figyelembe vételével, saját mérlegelése alapján dönthet az érintett sportolót illető ösztöndíj folyósításának részbeni vagy teljes felfüggesztéséről. A felfüggesztés addig maradhat érvényben, ameddig a sportoló az adatszolgáltatási kötelezettségének eleget nem tesz. </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Amennyiben a sportoló az adatszolgáltatási kötelezettségének a Kuratórium felszólítására, a felszólításban meghatározott határidőben sem tesz eleget, a Kuratórium dönthet az ösztöndíj folyósításának felfüggesztéséről, illetve megszüntetéséről..</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 Kuratórium az ösztöndíj folyósításának felfüggesztéséről, illetve megszüntetéséről is dönthet abban az esetben is, ha a nyertes sportoló adataiban és körülményeiben olyan változás következik be, amely alapján az ösztöndíjra a továbbiakban már nem lenne jogosult, illetve amennyiben tanulmányait saját hibájából nem tudja folytatni vagy azokat megszakítja, valamint ha olyan információk kerülnek az Alapítvány tudomására, amely a sportoló sporttevékenységének felfüggesztését vagy megszüntetését alapozzák meg.</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Amennyiben a nyertes sportoló tanulmányait a következő tanév vonatkozásában elhalasztja vagy saját hibájából évismétlésre kényszerül, úgy az Alapítvány a halasztással, illetve évismétléssel érintett szemeszterre vonatkozóan a sportoló részére ösztöndíjat nem fizet, az adott szemeszterre már kifizetett ösztöndíjat pedig a sportoló a jegybanki alapkamattal növelt összegben köteles visszatéríteni az Alapítványnak.</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3.2. A támogatási szerződéstől való elállás</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Az ösztöndíjban részesített sportoló a tanulmányai befejezésétől számított 60 (hatvan) napon belül a tanulmányai sikeres lezárását igazoló hivatalos dokumentum másolatát köteles megküldeni az Alapítvány Kuratóriuma részére. Ezen kötelezettség elmulasztása esetén köteles a számára folyósított ösztöndíj összegét (a jegybanki alapkamattal növelve) visszatéríteni, illetve az Alapítvány számlájára befizetni.</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 Kuratórium döntésével az Alapítvány a már kifizetett ösztöndíjak tekintetében elállásra jogosult, ha a rendelkezésére álló információk alapján hitelt érdemlő módon megállapítható, hogy a pályázaton nyertes sportoló</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numPr>
          <w:ilvl w:val="0"/>
          <w:numId w:val="5"/>
        </w:numPr>
        <w:spacing w:lineRule="atLeast" w:line="280"/>
        <w:jc w:val="both"/>
        <w:rPr>
          <w:rFonts w:ascii="Arial" w:hAnsi="Arial" w:cs="Arial"/>
          <w:sz w:val="20"/>
          <w:szCs w:val="20"/>
        </w:rPr>
      </w:pPr>
      <w:r>
        <w:rPr>
          <w:rFonts w:cs="Arial" w:ascii="Arial" w:hAnsi="Arial"/>
          <w:sz w:val="20"/>
          <w:szCs w:val="20"/>
        </w:rPr>
        <w:t>jogosulatlanul vette igénybe az ösztöndíjat;</w:t>
      </w:r>
    </w:p>
    <w:p>
      <w:pPr>
        <w:pStyle w:val="Normal"/>
        <w:numPr>
          <w:ilvl w:val="0"/>
          <w:numId w:val="5"/>
        </w:numPr>
        <w:spacing w:lineRule="atLeast" w:line="280"/>
        <w:jc w:val="both"/>
        <w:rPr>
          <w:rFonts w:ascii="Arial" w:hAnsi="Arial" w:cs="Arial"/>
          <w:sz w:val="20"/>
          <w:szCs w:val="20"/>
        </w:rPr>
      </w:pPr>
      <w:r>
        <w:rPr>
          <w:rFonts w:cs="Arial" w:ascii="Arial" w:hAnsi="Arial"/>
          <w:sz w:val="20"/>
          <w:szCs w:val="20"/>
        </w:rPr>
        <w:t>az ösztöndíjról szóló döntés tartalmát érdemben befolyásoló valótlan, hamis vagy megtévesztő adatot szolgáltatott vagy ilyen nyilatkozatot tett a támogatási igény benyújtásakor;</w:t>
      </w:r>
    </w:p>
    <w:p>
      <w:pPr>
        <w:pStyle w:val="Normal"/>
        <w:numPr>
          <w:ilvl w:val="0"/>
          <w:numId w:val="5"/>
        </w:numPr>
        <w:spacing w:lineRule="atLeast" w:line="280"/>
        <w:jc w:val="both"/>
        <w:rPr>
          <w:rFonts w:ascii="Arial" w:hAnsi="Arial" w:cs="Arial"/>
          <w:sz w:val="20"/>
          <w:szCs w:val="20"/>
        </w:rPr>
      </w:pPr>
      <w:r>
        <w:rPr>
          <w:rFonts w:cs="Arial" w:ascii="Arial" w:hAnsi="Arial"/>
          <w:sz w:val="20"/>
          <w:szCs w:val="20"/>
        </w:rPr>
        <w:t>neki felróható okból megszegi a támogatási szerződésből eredő kötelezettségeit;</w:t>
      </w:r>
    </w:p>
    <w:p>
      <w:pPr>
        <w:pStyle w:val="Normal"/>
        <w:numPr>
          <w:ilvl w:val="0"/>
          <w:numId w:val="5"/>
        </w:numPr>
        <w:spacing w:lineRule="atLeast" w:line="280"/>
        <w:jc w:val="both"/>
        <w:rPr>
          <w:rFonts w:ascii="Arial" w:hAnsi="Arial" w:cs="Arial"/>
          <w:sz w:val="20"/>
          <w:szCs w:val="20"/>
        </w:rPr>
      </w:pPr>
      <w:r>
        <w:rPr>
          <w:rFonts w:cs="Arial" w:ascii="Arial" w:hAnsi="Arial"/>
          <w:sz w:val="20"/>
          <w:szCs w:val="20"/>
        </w:rPr>
        <w:t>az ösztöndíj folyósításának feltételeként előírt nyilatkozatok bármelyikét visszavonja;</w:t>
      </w:r>
    </w:p>
    <w:p>
      <w:pPr>
        <w:pStyle w:val="Normal"/>
        <w:numPr>
          <w:ilvl w:val="0"/>
          <w:numId w:val="5"/>
        </w:numPr>
        <w:spacing w:lineRule="atLeast" w:line="280"/>
        <w:jc w:val="both"/>
        <w:rPr>
          <w:rFonts w:ascii="Arial" w:hAnsi="Arial" w:cs="Arial"/>
          <w:sz w:val="20"/>
          <w:szCs w:val="20"/>
        </w:rPr>
      </w:pPr>
      <w:r>
        <w:rPr>
          <w:rFonts w:cs="Arial" w:ascii="Arial" w:hAnsi="Arial"/>
          <w:sz w:val="20"/>
          <w:szCs w:val="20"/>
        </w:rPr>
        <w:t>az ösztöndíjat nem a szerződésben megjelölt célra használja fel, illetve az ösztöndíj összegét jogosulatlanul továbbadja;</w:t>
      </w:r>
    </w:p>
    <w:p>
      <w:pPr>
        <w:pStyle w:val="Normal"/>
        <w:numPr>
          <w:ilvl w:val="0"/>
          <w:numId w:val="5"/>
        </w:numPr>
        <w:spacing w:lineRule="atLeast" w:line="280"/>
        <w:jc w:val="both"/>
        <w:rPr>
          <w:rFonts w:ascii="Arial" w:hAnsi="Arial" w:cs="Arial"/>
          <w:sz w:val="20"/>
          <w:szCs w:val="20"/>
        </w:rPr>
      </w:pPr>
      <w:r>
        <w:rPr>
          <w:rFonts w:cs="Arial" w:ascii="Arial" w:hAnsi="Arial"/>
          <w:sz w:val="20"/>
          <w:szCs w:val="20"/>
        </w:rPr>
        <w:t>sporttevékenységének felfüggesztésére, vagy megszüntetésére súlyos okból kerül sor (pl. bundavétség elkövetése, vagy doppingvétség miatt).</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Az Alapítvány elállási jogát az érintett sportolóhoz intézett, egyoldalú írásbeli nyilatkozattal gyakorolja. Az elálláshoz kapcsolódó jogkövetkezmények a nyilatkozat kézbesítésével állnak be. Az Alapítvány elállása esetén az ösztöndíjban részesített sportoló köteles a számára folyósított és jogosulatlanul igénybe vett ösztöndíj összegét (a jegybanki alapkamattal növelve) és az ösztöndíj jogosulatlanul igénybe vett összegének 30%-át kitevő összegű kötbért az Alapítvány részére visszatéríteni, illetve az Alapítvány számlájára befizetni.</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ind w:left="708" w:hanging="0"/>
        <w:jc w:val="both"/>
        <w:rPr>
          <w:rFonts w:ascii="Arial" w:hAnsi="Arial" w:cs="Arial"/>
          <w:sz w:val="20"/>
          <w:szCs w:val="20"/>
        </w:rPr>
      </w:pPr>
      <w:r>
        <w:rPr>
          <w:rFonts w:cs="Arial" w:ascii="Arial" w:hAnsi="Arial"/>
          <w:sz w:val="20"/>
          <w:szCs w:val="20"/>
        </w:rPr>
        <w:t>Az Alapítvány az ösztöndíj folyósításától részben is elállhat, illetve azt részben is felmondhatja. Az Alapítvány az elállás, felmondás során figyelembe veszi különösen az eltelt időt és a sportoló közreható magatartásának felróhatóságát.</w:t>
      </w:r>
    </w:p>
    <w:p>
      <w:pPr>
        <w:pStyle w:val="Normal"/>
        <w:spacing w:lineRule="atLeast" w:line="280"/>
        <w:ind w:left="708" w:hanging="0"/>
        <w:jc w:val="both"/>
        <w:rPr>
          <w:rFonts w:ascii="Arial" w:hAnsi="Arial" w:cs="Arial"/>
          <w:sz w:val="20"/>
          <w:szCs w:val="20"/>
        </w:rPr>
      </w:pPr>
      <w:r>
        <w:rPr>
          <w:rFonts w:cs="Arial" w:ascii="Arial" w:hAnsi="Arial"/>
          <w:sz w:val="20"/>
          <w:szCs w:val="20"/>
        </w:rPr>
      </w:r>
    </w:p>
    <w:p>
      <w:pPr>
        <w:pStyle w:val="Normal"/>
        <w:spacing w:lineRule="atLeast" w:line="280"/>
        <w:jc w:val="both"/>
        <w:rPr>
          <w:rFonts w:ascii="Arial" w:hAnsi="Arial" w:cs="Arial"/>
          <w:sz w:val="20"/>
          <w:szCs w:val="20"/>
        </w:rPr>
      </w:pPr>
      <w:r>
        <w:rPr>
          <w:rFonts w:cs="Arial" w:ascii="Arial" w:hAnsi="Arial"/>
          <w:sz w:val="20"/>
          <w:szCs w:val="20"/>
        </w:rPr>
        <w:t>A jelen Támogatási Szabályzatot az Alapítvány által a Kuratórium 2/2013.10.04. számú határozatával elfogadásra került. A jelen Támogatási Szabályzat hatályba lépésének napja: 2013. november 04.</w:t>
      </w:r>
    </w:p>
    <w:p>
      <w:pPr>
        <w:pStyle w:val="Normal"/>
        <w:spacing w:lineRule="atLeast" w:line="280"/>
        <w:jc w:val="both"/>
        <w:rPr>
          <w:rFonts w:ascii="Arial" w:hAnsi="Arial" w:cs="Arial"/>
          <w:sz w:val="20"/>
          <w:szCs w:val="20"/>
        </w:rPr>
      </w:pPr>
      <w:r>
        <w:rPr>
          <w:rFonts w:cs="Arial" w:ascii="Arial" w:hAnsi="Arial"/>
          <w:sz w:val="20"/>
          <w:szCs w:val="20"/>
        </w:rPr>
      </w:r>
    </w:p>
    <w:p>
      <w:pPr>
        <w:pStyle w:val="Normal"/>
        <w:spacing w:lineRule="atLeast" w:line="280"/>
        <w:jc w:val="both"/>
        <w:rPr>
          <w:rFonts w:ascii="Arial" w:hAnsi="Arial" w:cs="Arial"/>
          <w:sz w:val="20"/>
          <w:szCs w:val="20"/>
        </w:rPr>
      </w:pPr>
      <w:r>
        <w:rPr>
          <w:rFonts w:cs="Arial" w:ascii="Arial" w:hAnsi="Arial"/>
          <w:sz w:val="20"/>
          <w:szCs w:val="20"/>
        </w:rPr>
        <w:t>A jelen Támogatási Szabályzat kizárólag a Kuratórium döntése alapján és csak írásban módosítható. Különös méltánylást érdemlő és indokolt esetben a Szakmai Bizottság javaslatot tehet a Kuratórium részére a jelen Támogatási Szabályzatban meghatározott valamely rendelkezés alkalmazásának mellőzéséről, ha azt az adott ösztöndíj pályázat szabályai lehetővé teszik és ahhoz az Alapítványnak fontos érdeke fűződik.</w:t>
      </w:r>
    </w:p>
    <w:p>
      <w:pPr>
        <w:pStyle w:val="Normal"/>
        <w:spacing w:lineRule="atLeast" w:line="280"/>
        <w:jc w:val="both"/>
        <w:rPr>
          <w:rFonts w:ascii="Arial" w:hAnsi="Arial" w:cs="Arial"/>
          <w:sz w:val="20"/>
          <w:szCs w:val="20"/>
        </w:rPr>
      </w:pPr>
      <w:r>
        <w:rPr>
          <w:rFonts w:cs="Arial" w:ascii="Arial" w:hAnsi="Arial"/>
          <w:sz w:val="20"/>
          <w:szCs w:val="20"/>
        </w:rPr>
      </w:r>
    </w:p>
    <w:p>
      <w:pPr>
        <w:pStyle w:val="Normal"/>
        <w:spacing w:lineRule="atLeast" w:line="280"/>
        <w:jc w:val="both"/>
        <w:rPr>
          <w:rFonts w:ascii="Arial" w:hAnsi="Arial" w:cs="Arial"/>
          <w:sz w:val="20"/>
          <w:szCs w:val="20"/>
        </w:rPr>
      </w:pPr>
      <w:r>
        <w:rPr>
          <w:rFonts w:cs="Arial" w:ascii="Arial" w:hAnsi="Arial"/>
          <w:sz w:val="20"/>
          <w:szCs w:val="20"/>
        </w:rPr>
        <w:t>A jelen Támogatási Szabályzat hatályba lépésének hiteléül:</w:t>
      </w:r>
    </w:p>
    <w:p>
      <w:pPr>
        <w:pStyle w:val="Normal"/>
        <w:spacing w:lineRule="atLeast" w:line="280"/>
        <w:jc w:val="both"/>
        <w:rPr>
          <w:rFonts w:ascii="Arial" w:hAnsi="Arial" w:cs="Arial"/>
          <w:sz w:val="20"/>
          <w:szCs w:val="20"/>
        </w:rPr>
      </w:pPr>
      <w:r>
        <w:rPr>
          <w:rFonts w:cs="Arial" w:ascii="Arial" w:hAnsi="Arial"/>
          <w:sz w:val="20"/>
          <w:szCs w:val="20"/>
        </w:rPr>
      </w:r>
    </w:p>
    <w:p>
      <w:pPr>
        <w:pStyle w:val="Normal"/>
        <w:spacing w:lineRule="atLeast" w:line="280"/>
        <w:jc w:val="both"/>
        <w:rPr>
          <w:rFonts w:ascii="Arial" w:hAnsi="Arial" w:cs="Arial"/>
          <w:sz w:val="20"/>
          <w:szCs w:val="20"/>
        </w:rPr>
      </w:pPr>
      <w:r>
        <w:rPr>
          <w:rFonts w:cs="Arial" w:ascii="Arial" w:hAnsi="Arial"/>
          <w:sz w:val="20"/>
          <w:szCs w:val="20"/>
        </w:rPr>
      </w:r>
    </w:p>
    <w:p>
      <w:pPr>
        <w:pStyle w:val="Normal"/>
        <w:spacing w:lineRule="atLeast" w:line="280"/>
        <w:rPr/>
      </w:pPr>
      <w:r>
        <w:rPr>
          <w:rFonts w:cs="Arial" w:ascii="Arial" w:hAnsi="Arial"/>
          <w:sz w:val="20"/>
          <w:szCs w:val="20"/>
        </w:rPr>
        <w:t>_______________________________</w:t>
        <w:br/>
        <w:t>Szalay-Berzeviczy Attila</w:t>
        <w:br/>
        <w:t>a Kuratórium elnöke</w:t>
      </w:r>
    </w:p>
    <w:sectPr>
      <w:headerReference w:type="default" r:id="rId2"/>
      <w:type w:val="nextPage"/>
      <w:pgSz w:w="11906" w:h="16838"/>
      <w:pgMar w:left="1134" w:right="1134" w:header="720" w:top="1302" w:footer="0" w:bottom="162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fej"/>
      <w:jc w:val="right"/>
      <w:rPr>
        <w:rFonts w:ascii="Arial" w:hAnsi="Arial" w:cs="Arial"/>
        <w:i/>
        <w:i/>
      </w:rPr>
    </w:pPr>
    <w:r>
      <w:rPr>
        <w:rFonts w:cs="Arial" w:ascii="Arial" w:hAnsi="Arial"/>
        <w:i/>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tabs>
          <w:tab w:val="num" w:pos="1080"/>
        </w:tabs>
        <w:ind w:left="1080" w:hanging="720"/>
      </w:pPr>
      <w:rPr>
        <w:sz w:val="20"/>
        <w:b/>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bullet"/>
      <w:lvlText w:val=""/>
      <w:lvlJc w:val="left"/>
      <w:pPr>
        <w:tabs>
          <w:tab w:val="num" w:pos="1428"/>
        </w:tabs>
        <w:ind w:left="1428" w:hanging="360"/>
      </w:pPr>
      <w:rPr>
        <w:rFonts w:ascii="Wingdings" w:hAnsi="Wingdings" w:cs="Wingdings" w:hint="default"/>
        <w:sz w:val="20"/>
        <w:rFonts w:cs="Wingdings"/>
      </w:rPr>
    </w:lvl>
    <w:lvl w:ilvl="1">
      <w:start w:val="1"/>
      <w:numFmt w:val="bullet"/>
      <w:lvlText w:val="o"/>
      <w:lvlJc w:val="left"/>
      <w:pPr>
        <w:tabs>
          <w:tab w:val="num" w:pos="2148"/>
        </w:tabs>
        <w:ind w:left="2148" w:hanging="360"/>
      </w:pPr>
      <w:rPr>
        <w:rFonts w:ascii="Courier New" w:hAnsi="Courier New" w:cs="Courier New" w:hint="default"/>
        <w:rFonts w:cs="Courier New"/>
      </w:rPr>
    </w:lvl>
    <w:lvl w:ilvl="2">
      <w:start w:val="1"/>
      <w:numFmt w:val="bullet"/>
      <w:lvlText w:val=""/>
      <w:lvlJc w:val="left"/>
      <w:pPr>
        <w:tabs>
          <w:tab w:val="num" w:pos="2868"/>
        </w:tabs>
        <w:ind w:left="2868" w:hanging="360"/>
      </w:pPr>
      <w:rPr>
        <w:rFonts w:ascii="Wingdings" w:hAnsi="Wingdings" w:cs="Wingdings" w:hint="default"/>
        <w:rFonts w:cs="Wingdings"/>
      </w:rPr>
    </w:lvl>
    <w:lvl w:ilvl="3">
      <w:start w:val="1"/>
      <w:numFmt w:val="bullet"/>
      <w:lvlText w:val=""/>
      <w:lvlJc w:val="left"/>
      <w:pPr>
        <w:tabs>
          <w:tab w:val="num" w:pos="3588"/>
        </w:tabs>
        <w:ind w:left="3588" w:hanging="360"/>
      </w:pPr>
      <w:rPr>
        <w:rFonts w:ascii="Symbol" w:hAnsi="Symbol" w:cs="Symbol" w:hint="default"/>
        <w:rFonts w:cs="Symbol"/>
      </w:rPr>
    </w:lvl>
    <w:lvl w:ilvl="4">
      <w:start w:val="1"/>
      <w:numFmt w:val="bullet"/>
      <w:lvlText w:val="o"/>
      <w:lvlJc w:val="left"/>
      <w:pPr>
        <w:tabs>
          <w:tab w:val="num" w:pos="4308"/>
        </w:tabs>
        <w:ind w:left="4308" w:hanging="360"/>
      </w:pPr>
      <w:rPr>
        <w:rFonts w:ascii="Courier New" w:hAnsi="Courier New" w:cs="Courier New" w:hint="default"/>
        <w:rFonts w:cs="Courier New"/>
      </w:rPr>
    </w:lvl>
    <w:lvl w:ilvl="5">
      <w:start w:val="1"/>
      <w:numFmt w:val="bullet"/>
      <w:lvlText w:val=""/>
      <w:lvlJc w:val="left"/>
      <w:pPr>
        <w:tabs>
          <w:tab w:val="num" w:pos="5028"/>
        </w:tabs>
        <w:ind w:left="5028" w:hanging="360"/>
      </w:pPr>
      <w:rPr>
        <w:rFonts w:ascii="Wingdings" w:hAnsi="Wingdings" w:cs="Wingdings" w:hint="default"/>
        <w:rFonts w:cs="Wingdings"/>
      </w:rPr>
    </w:lvl>
    <w:lvl w:ilvl="6">
      <w:start w:val="1"/>
      <w:numFmt w:val="bullet"/>
      <w:lvlText w:val=""/>
      <w:lvlJc w:val="left"/>
      <w:pPr>
        <w:tabs>
          <w:tab w:val="num" w:pos="5748"/>
        </w:tabs>
        <w:ind w:left="5748" w:hanging="360"/>
      </w:pPr>
      <w:rPr>
        <w:rFonts w:ascii="Symbol" w:hAnsi="Symbol" w:cs="Symbol" w:hint="default"/>
        <w:rFonts w:cs="Symbol"/>
      </w:rPr>
    </w:lvl>
    <w:lvl w:ilvl="7">
      <w:start w:val="1"/>
      <w:numFmt w:val="bullet"/>
      <w:lvlText w:val="o"/>
      <w:lvlJc w:val="left"/>
      <w:pPr>
        <w:tabs>
          <w:tab w:val="num" w:pos="6468"/>
        </w:tabs>
        <w:ind w:left="6468" w:hanging="360"/>
      </w:pPr>
      <w:rPr>
        <w:rFonts w:ascii="Courier New" w:hAnsi="Courier New" w:cs="Courier New" w:hint="default"/>
        <w:rFonts w:cs="Courier New"/>
      </w:rPr>
    </w:lvl>
    <w:lvl w:ilvl="8">
      <w:start w:val="1"/>
      <w:numFmt w:val="bullet"/>
      <w:lvlText w:val=""/>
      <w:lvlJc w:val="left"/>
      <w:pPr>
        <w:tabs>
          <w:tab w:val="num" w:pos="7188"/>
        </w:tabs>
        <w:ind w:left="7188" w:hanging="360"/>
      </w:pPr>
      <w:rPr>
        <w:rFonts w:ascii="Wingdings" w:hAnsi="Wingdings" w:cs="Wingdings" w:hint="default"/>
        <w:rFonts w:cs="Wingding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trackRevisions/>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hu-HU" w:eastAsia="hu-HU" w:bidi="ar-SA"/>
    </w:rPr>
  </w:style>
  <w:style w:type="paragraph" w:styleId="Cmsor1">
    <w:name w:val="Heading 1"/>
    <w:basedOn w:val="Normal"/>
    <w:qFormat/>
    <w:rsid w:val="002432e0"/>
    <w:pPr>
      <w:keepNext w:val="true"/>
      <w:spacing w:before="240" w:after="60"/>
      <w:outlineLvl w:val="0"/>
    </w:pPr>
    <w:rPr>
      <w:rFonts w:ascii="Arial" w:hAnsi="Arial" w:cs="Arial"/>
      <w:b/>
      <w:bCs/>
      <w:kern w:val="2"/>
      <w:sz w:val="32"/>
      <w:szCs w:val="32"/>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870d3d"/>
    <w:rPr/>
  </w:style>
  <w:style w:type="character" w:styleId="ListLabel1">
    <w:name w:val="ListLabel 1"/>
    <w:qFormat/>
    <w:rPr>
      <w:rFonts w:ascii="Arial" w:hAnsi="Arial"/>
      <w:b/>
      <w:sz w:val="2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Arial" w:hAnsi="Arial"/>
      <w:b/>
      <w:sz w:val="20"/>
    </w:rPr>
  </w:style>
  <w:style w:type="character" w:styleId="ListLabel6">
    <w:name w:val="ListLabel 6"/>
    <w:qFormat/>
    <w:rPr>
      <w:rFonts w:ascii="Arial" w:hAnsi="Arial" w:cs="Wingdings"/>
      <w:sz w:val="20"/>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ascii="Arial" w:hAnsi="Arial"/>
      <w:b/>
      <w:sz w:val="20"/>
    </w:rPr>
  </w:style>
  <w:style w:type="character" w:styleId="ListLabel16">
    <w:name w:val="ListLabel 16"/>
    <w:qFormat/>
    <w:rPr>
      <w:rFonts w:ascii="Arial" w:hAnsi="Arial" w:cs="Wingdings"/>
      <w:sz w:val="20"/>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paragraph" w:styleId="Cmsor">
    <w:name w:val="Címsor"/>
    <w:basedOn w:val="Normal"/>
    <w:next w:val="Szvegtrzs"/>
    <w:qFormat/>
    <w:pPr>
      <w:keepNext w:val="true"/>
      <w:spacing w:before="240" w:after="120"/>
    </w:pPr>
    <w:rPr>
      <w:rFonts w:ascii="Liberation Sans" w:hAnsi="Liberation Sans" w:eastAsia="Microsoft YaHei" w:cs="Mangal"/>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Mangal"/>
    </w:rPr>
  </w:style>
  <w:style w:type="paragraph" w:styleId="Felirat">
    <w:name w:val="Caption"/>
    <w:basedOn w:val="Normal"/>
    <w:qFormat/>
    <w:pPr>
      <w:suppressLineNumbers/>
      <w:spacing w:before="120" w:after="120"/>
    </w:pPr>
    <w:rPr>
      <w:rFonts w:cs="Mangal"/>
      <w:i/>
      <w:iCs/>
      <w:sz w:val="24"/>
      <w:szCs w:val="24"/>
    </w:rPr>
  </w:style>
  <w:style w:type="paragraph" w:styleId="Trgymutat">
    <w:name w:val="Tárgymutató"/>
    <w:basedOn w:val="Normal"/>
    <w:qFormat/>
    <w:pPr>
      <w:suppressLineNumbers/>
    </w:pPr>
    <w:rPr>
      <w:rFonts w:cs="Mangal"/>
    </w:rPr>
  </w:style>
  <w:style w:type="paragraph" w:styleId="Stlus2" w:customStyle="1">
    <w:name w:val="Stílus2"/>
    <w:basedOn w:val="Normal"/>
    <w:qFormat/>
    <w:rsid w:val="00c11f81"/>
    <w:pPr>
      <w:spacing w:lineRule="auto" w:line="360" w:before="120" w:after="120"/>
      <w:ind w:left="1416" w:hanging="0"/>
    </w:pPr>
    <w:rPr>
      <w:rFonts w:ascii="Arial" w:hAnsi="Arial"/>
      <w:sz w:val="20"/>
    </w:rPr>
  </w:style>
  <w:style w:type="paragraph" w:styleId="Llb">
    <w:name w:val="Footer"/>
    <w:basedOn w:val="Normal"/>
    <w:rsid w:val="00870d3d"/>
    <w:pPr>
      <w:tabs>
        <w:tab w:val="center" w:pos="4536" w:leader="none"/>
        <w:tab w:val="right" w:pos="9072" w:leader="none"/>
      </w:tabs>
    </w:pPr>
    <w:rPr/>
  </w:style>
  <w:style w:type="paragraph" w:styleId="Lfej">
    <w:name w:val="Header"/>
    <w:basedOn w:val="Normal"/>
    <w:rsid w:val="00660f2c"/>
    <w:pPr>
      <w:tabs>
        <w:tab w:val="center" w:pos="4536" w:leader="none"/>
        <w:tab w:val="right" w:pos="9072" w:leader="none"/>
      </w:tabs>
    </w:pPr>
    <w:rPr/>
  </w:style>
  <w:style w:type="paragraph" w:styleId="Kerettartalom">
    <w:name w:val="Kerettartalom"/>
    <w:basedOn w:val="Normal"/>
    <w:qFormat/>
    <w:pPr/>
    <w:rPr/>
  </w:style>
  <w:style w:type="numbering" w:styleId="NoList" w:default="1">
    <w:name w:val="No List"/>
    <w:uiPriority w:val="99"/>
    <w:semiHidden/>
    <w:unhideWhenUsed/>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1DDA1-F46F-4E4E-8FE0-DDDB8B94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LibreOffice/6.0.4.2$Windows_X86_64 LibreOffice_project/9b0d9b32d5dcda91d2f1a96dc04c645c450872bf</Application>
  <Pages>7</Pages>
  <Words>1802</Words>
  <Characters>13315</Characters>
  <CharactersWithSpaces>15027</CharactersWithSpaces>
  <Paragraphs>75</Paragraphs>
  <Company>Concorde Zrt.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2013-09-23T15:51:00Z</dcterms:created>
  <dc:creator>fedak</dc:creator>
  <dc:description/>
  <dc:language>hu-HU</dc:language>
  <cp:lastModifiedBy/>
  <dcterms:modified xsi:type="dcterms:W3CDTF">2018-11-07T10:41:15Z</dcterms:modified>
  <cp:revision>10</cp:revision>
  <dc:subject/>
  <dc:title>„BOM a Magyar Sportért” Közhasznú Alapítvány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Concorde Zrt.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